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482A1" w14:textId="77777777" w:rsidR="003130EF" w:rsidRDefault="006F254A">
      <w:pPr>
        <w:pStyle w:val="Default"/>
        <w:jc w:val="both"/>
        <w:rPr>
          <w:rFonts w:hAnsi="仿宋_GB2312"/>
          <w:color w:val="auto"/>
          <w:sz w:val="28"/>
          <w:szCs w:val="28"/>
        </w:rPr>
      </w:pPr>
      <w:r>
        <w:rPr>
          <w:rFonts w:hint="eastAsia"/>
          <w:color w:val="auto"/>
          <w:sz w:val="28"/>
          <w:szCs w:val="28"/>
        </w:rPr>
        <w:t>豁免：</w:t>
      </w:r>
      <w:r>
        <w:rPr>
          <w:rFonts w:hAnsi="仿宋_GB2312" w:hint="eastAsia"/>
          <w:color w:val="auto"/>
          <w:sz w:val="28"/>
          <w:szCs w:val="28"/>
          <w:u w:val="single"/>
        </w:rPr>
        <w:t>驾驶舱座椅对</w:t>
      </w:r>
      <w:r>
        <w:rPr>
          <w:rFonts w:hAnsi="仿宋_GB2312" w:hint="eastAsia"/>
          <w:color w:val="auto"/>
          <w:sz w:val="28"/>
          <w:szCs w:val="28"/>
          <w:u w:val="single"/>
        </w:rPr>
        <w:t>CCAR25.562(b)(2)</w:t>
      </w:r>
      <w:r>
        <w:rPr>
          <w:rFonts w:hAnsi="仿宋_GB2312" w:hint="eastAsia"/>
          <w:color w:val="auto"/>
          <w:sz w:val="28"/>
          <w:szCs w:val="28"/>
          <w:u w:val="single"/>
        </w:rPr>
        <w:t>款地板变形要求的永久豁免</w:t>
      </w:r>
      <w:r>
        <w:rPr>
          <w:rFonts w:hAnsi="仿宋_GB2312" w:hint="eastAsia"/>
          <w:color w:val="auto"/>
          <w:sz w:val="28"/>
          <w:szCs w:val="28"/>
        </w:rPr>
        <w:t>征求意见稿</w:t>
      </w:r>
    </w:p>
    <w:p w14:paraId="57613D61" w14:textId="4EA75D7B" w:rsidR="003130EF" w:rsidRDefault="006F254A">
      <w:pPr>
        <w:pStyle w:val="Default"/>
        <w:jc w:val="both"/>
        <w:rPr>
          <w:color w:val="auto"/>
          <w:sz w:val="28"/>
          <w:szCs w:val="28"/>
        </w:rPr>
      </w:pPr>
      <w:r>
        <w:rPr>
          <w:rFonts w:hint="eastAsia"/>
          <w:color w:val="auto"/>
          <w:sz w:val="28"/>
          <w:szCs w:val="28"/>
        </w:rPr>
        <w:t>编号：</w:t>
      </w:r>
      <w:r w:rsidRPr="006F254A">
        <w:rPr>
          <w:color w:val="auto"/>
          <w:sz w:val="28"/>
          <w:szCs w:val="28"/>
        </w:rPr>
        <w:t>PE-027</w:t>
      </w:r>
      <w:bookmarkStart w:id="0" w:name="_GoBack"/>
      <w:bookmarkEnd w:id="0"/>
    </w:p>
    <w:p w14:paraId="12266C57" w14:textId="77777777" w:rsidR="003130EF" w:rsidRDefault="006F254A">
      <w:pPr>
        <w:pStyle w:val="Default"/>
        <w:jc w:val="both"/>
        <w:rPr>
          <w:rFonts w:hAnsi="Times New Roman" w:cs="Times New Roman"/>
          <w:sz w:val="28"/>
          <w:szCs w:val="28"/>
        </w:rPr>
      </w:pPr>
      <w:r>
        <w:rPr>
          <w:rFonts w:hint="eastAsia"/>
          <w:color w:val="auto"/>
          <w:sz w:val="28"/>
          <w:szCs w:val="28"/>
        </w:rPr>
        <w:t>反馈意见截止期：</w:t>
      </w:r>
      <w:r>
        <w:rPr>
          <w:rFonts w:hAnsi="Times New Roman" w:cs="Times New Roman" w:hint="eastAsia"/>
          <w:sz w:val="28"/>
          <w:szCs w:val="28"/>
        </w:rPr>
        <w:t>自通知颁发的</w:t>
      </w:r>
      <w:r>
        <w:rPr>
          <w:rFonts w:hAnsi="Times New Roman" w:cs="Times New Roman" w:hint="eastAsia"/>
          <w:sz w:val="28"/>
          <w:szCs w:val="28"/>
        </w:rPr>
        <w:t>10</w:t>
      </w:r>
      <w:r>
        <w:rPr>
          <w:rFonts w:hAnsi="Times New Roman" w:cs="Times New Roman" w:hint="eastAsia"/>
          <w:sz w:val="28"/>
          <w:szCs w:val="28"/>
        </w:rPr>
        <w:t>个工作日</w:t>
      </w:r>
    </w:p>
    <w:p w14:paraId="330CF268" w14:textId="77777777" w:rsidR="003130EF" w:rsidRDefault="003130EF">
      <w:pPr>
        <w:pStyle w:val="Default"/>
        <w:jc w:val="both"/>
        <w:rPr>
          <w:rFonts w:ascii="仿宋" w:eastAsia="仿宋" w:hAnsi="仿宋" w:cs="仿宋"/>
          <w:sz w:val="28"/>
          <w:szCs w:val="28"/>
        </w:rPr>
      </w:pPr>
    </w:p>
    <w:p w14:paraId="249273FC" w14:textId="77777777" w:rsidR="003130EF" w:rsidRDefault="006F254A">
      <w:pPr>
        <w:pStyle w:val="Default"/>
        <w:numPr>
          <w:ilvl w:val="0"/>
          <w:numId w:val="1"/>
        </w:numPr>
        <w:jc w:val="both"/>
        <w:outlineLvl w:val="0"/>
        <w:rPr>
          <w:rFonts w:ascii="仿宋" w:eastAsia="仿宋" w:hAnsi="仿宋" w:cs="仿宋"/>
          <w:sz w:val="28"/>
          <w:szCs w:val="28"/>
        </w:rPr>
      </w:pPr>
      <w:r>
        <w:rPr>
          <w:rFonts w:ascii="仿宋" w:eastAsia="仿宋" w:hAnsi="仿宋" w:cs="仿宋" w:hint="eastAsia"/>
          <w:sz w:val="28"/>
          <w:szCs w:val="28"/>
        </w:rPr>
        <w:t>概述</w:t>
      </w:r>
    </w:p>
    <w:p w14:paraId="2E094288"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型飞机申请人</w:t>
      </w:r>
      <w:proofErr w:type="gramStart"/>
      <w:r>
        <w:rPr>
          <w:rFonts w:ascii="仿宋_GB2312" w:eastAsia="仿宋_GB2312" w:hAnsi="Calibri" w:cs="仿宋_GB2312" w:hint="eastAsia"/>
          <w:kern w:val="0"/>
          <w:sz w:val="28"/>
          <w:szCs w:val="28"/>
        </w:rPr>
        <w:t>中航通飞华南</w:t>
      </w:r>
      <w:proofErr w:type="gramEnd"/>
      <w:r>
        <w:rPr>
          <w:rFonts w:ascii="仿宋_GB2312" w:eastAsia="仿宋_GB2312" w:hAnsi="Calibri" w:cs="仿宋_GB2312" w:hint="eastAsia"/>
          <w:kern w:val="0"/>
          <w:sz w:val="28"/>
          <w:szCs w:val="28"/>
        </w:rPr>
        <w:t>飞机工业有限公司向民航局提交驾驶舱座椅对</w:t>
      </w:r>
      <w:r>
        <w:rPr>
          <w:rFonts w:ascii="仿宋_GB2312" w:eastAsia="仿宋_GB2312" w:hAnsi="Calibri" w:cs="仿宋_GB2312" w:hint="eastAsia"/>
          <w:kern w:val="0"/>
          <w:sz w:val="28"/>
          <w:szCs w:val="28"/>
        </w:rPr>
        <w:t>CCAR25.562(b)(2)</w:t>
      </w:r>
      <w:r>
        <w:rPr>
          <w:rFonts w:ascii="仿宋_GB2312" w:eastAsia="仿宋_GB2312" w:hAnsi="Calibri" w:cs="仿宋_GB2312" w:hint="eastAsia"/>
          <w:kern w:val="0"/>
          <w:sz w:val="28"/>
          <w:szCs w:val="28"/>
        </w:rPr>
        <w:t>款地板变形要求的永久豁免请求。</w:t>
      </w:r>
    </w:p>
    <w:p w14:paraId="0BFC6FB6" w14:textId="77777777" w:rsidR="003130EF" w:rsidRDefault="006F254A">
      <w:pPr>
        <w:pStyle w:val="Default"/>
        <w:numPr>
          <w:ilvl w:val="0"/>
          <w:numId w:val="1"/>
        </w:numPr>
        <w:jc w:val="both"/>
        <w:outlineLvl w:val="0"/>
        <w:rPr>
          <w:rFonts w:ascii="仿宋" w:eastAsia="仿宋" w:hAnsi="仿宋" w:cs="仿宋"/>
          <w:sz w:val="28"/>
          <w:szCs w:val="28"/>
        </w:rPr>
      </w:pPr>
      <w:r>
        <w:rPr>
          <w:rFonts w:ascii="仿宋" w:eastAsia="仿宋" w:hAnsi="仿宋" w:cs="仿宋" w:hint="eastAsia"/>
          <w:sz w:val="28"/>
          <w:szCs w:val="28"/>
        </w:rPr>
        <w:t>适用范围</w:t>
      </w:r>
    </w:p>
    <w:p w14:paraId="493DCBD1"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型飞机</w:t>
      </w:r>
    </w:p>
    <w:p w14:paraId="72E6B36B" w14:textId="77777777" w:rsidR="003130EF" w:rsidRDefault="006F254A">
      <w:pPr>
        <w:pStyle w:val="Default"/>
        <w:numPr>
          <w:ilvl w:val="0"/>
          <w:numId w:val="1"/>
        </w:numPr>
        <w:jc w:val="both"/>
        <w:outlineLvl w:val="0"/>
        <w:rPr>
          <w:rFonts w:ascii="仿宋" w:eastAsia="仿宋" w:hAnsi="仿宋" w:cs="仿宋"/>
          <w:sz w:val="28"/>
          <w:szCs w:val="28"/>
        </w:rPr>
      </w:pPr>
      <w:r>
        <w:rPr>
          <w:rFonts w:ascii="仿宋" w:eastAsia="仿宋" w:hAnsi="仿宋" w:cs="仿宋" w:hint="eastAsia"/>
          <w:sz w:val="28"/>
          <w:szCs w:val="28"/>
        </w:rPr>
        <w:t>申请豁免原因</w:t>
      </w:r>
    </w:p>
    <w:p w14:paraId="3C74477E"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根据国外飞机有关设计和取证经验，如果驾驶舱地板平面与机身底部之间的缓冲区域大于</w:t>
      </w:r>
      <w:r>
        <w:rPr>
          <w:rFonts w:ascii="仿宋_GB2312" w:eastAsia="仿宋_GB2312" w:hAnsi="Calibri" w:cs="仿宋_GB2312" w:hint="eastAsia"/>
          <w:kern w:val="0"/>
          <w:sz w:val="28"/>
          <w:szCs w:val="28"/>
        </w:rPr>
        <w:t>1016mm(40</w:t>
      </w:r>
      <w:r>
        <w:rPr>
          <w:rFonts w:ascii="仿宋_GB2312" w:eastAsia="仿宋_GB2312" w:hAnsi="Calibri" w:cs="仿宋_GB2312" w:hint="eastAsia"/>
          <w:kern w:val="0"/>
          <w:sz w:val="28"/>
          <w:szCs w:val="28"/>
        </w:rPr>
        <w:t>英寸</w:t>
      </w:r>
      <w:r>
        <w:rPr>
          <w:rFonts w:ascii="仿宋_GB2312" w:eastAsia="仿宋_GB2312" w:hAnsi="Calibri" w:cs="仿宋_GB2312" w:hint="eastAsia"/>
          <w:kern w:val="0"/>
          <w:sz w:val="28"/>
          <w:szCs w:val="28"/>
        </w:rPr>
        <w:t>)</w:t>
      </w:r>
      <w:r>
        <w:rPr>
          <w:rFonts w:ascii="仿宋_GB2312" w:eastAsia="仿宋_GB2312" w:hAnsi="Calibri" w:cs="仿宋_GB2312" w:hint="eastAsia"/>
          <w:kern w:val="0"/>
          <w:sz w:val="28"/>
          <w:szCs w:val="28"/>
        </w:rPr>
        <w:t>，则不会在可存活的</w:t>
      </w:r>
      <w:proofErr w:type="gramStart"/>
      <w:r>
        <w:rPr>
          <w:rFonts w:ascii="仿宋_GB2312" w:eastAsia="仿宋_GB2312" w:hAnsi="Calibri" w:cs="仿宋_GB2312" w:hint="eastAsia"/>
          <w:kern w:val="0"/>
          <w:sz w:val="28"/>
          <w:szCs w:val="28"/>
        </w:rPr>
        <w:t>坠撞情况</w:t>
      </w:r>
      <w:proofErr w:type="gramEnd"/>
      <w:r>
        <w:rPr>
          <w:rFonts w:ascii="仿宋_GB2312" w:eastAsia="仿宋_GB2312" w:hAnsi="Calibri" w:cs="仿宋_GB2312" w:hint="eastAsia"/>
          <w:kern w:val="0"/>
          <w:sz w:val="28"/>
          <w:szCs w:val="28"/>
        </w:rPr>
        <w:t>下发生地板翘曲，因此不会发生因翘曲原因导致座椅与滑轨脱离。</w:t>
      </w:r>
    </w:p>
    <w:p w14:paraId="753B076E"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目前</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飞机该缓冲区域高度约为</w:t>
      </w:r>
      <w:r>
        <w:rPr>
          <w:rFonts w:ascii="仿宋_GB2312" w:eastAsia="仿宋_GB2312" w:hAnsi="Calibri" w:cs="仿宋_GB2312" w:hint="eastAsia"/>
          <w:kern w:val="0"/>
          <w:sz w:val="28"/>
          <w:szCs w:val="28"/>
        </w:rPr>
        <w:t>1217mm</w:t>
      </w:r>
      <w:r>
        <w:rPr>
          <w:rFonts w:ascii="仿宋_GB2312" w:eastAsia="仿宋_GB2312" w:hAnsi="Calibri" w:cs="仿宋_GB2312" w:hint="eastAsia"/>
          <w:kern w:val="0"/>
          <w:sz w:val="28"/>
          <w:szCs w:val="28"/>
        </w:rPr>
        <w:t>，满足上述缓冲区域要求，因此对于进行驾驶舱座椅动态冲击试验验证时不进行地板变形可以保证具有等效的安全水平，为此提出该豁免请求。</w:t>
      </w:r>
    </w:p>
    <w:p w14:paraId="4F08DCF9" w14:textId="77777777" w:rsidR="003130EF" w:rsidRDefault="006F254A">
      <w:pPr>
        <w:pStyle w:val="Default"/>
        <w:numPr>
          <w:ilvl w:val="0"/>
          <w:numId w:val="1"/>
        </w:numPr>
        <w:jc w:val="both"/>
        <w:outlineLvl w:val="0"/>
        <w:rPr>
          <w:rFonts w:ascii="仿宋" w:eastAsia="仿宋" w:hAnsi="仿宋" w:cs="仿宋"/>
          <w:sz w:val="28"/>
          <w:szCs w:val="28"/>
        </w:rPr>
      </w:pPr>
      <w:r>
        <w:rPr>
          <w:rFonts w:ascii="仿宋" w:eastAsia="仿宋" w:hAnsi="仿宋" w:cs="仿宋" w:hint="eastAsia"/>
          <w:sz w:val="28"/>
          <w:szCs w:val="28"/>
        </w:rPr>
        <w:t>适航性和安全性影响</w:t>
      </w:r>
    </w:p>
    <w:p w14:paraId="59B3C5DA"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在可存活的</w:t>
      </w:r>
      <w:proofErr w:type="gramStart"/>
      <w:r>
        <w:rPr>
          <w:rFonts w:ascii="仿宋_GB2312" w:eastAsia="仿宋_GB2312" w:hAnsi="Calibri" w:cs="仿宋_GB2312" w:hint="eastAsia"/>
          <w:kern w:val="0"/>
          <w:sz w:val="28"/>
          <w:szCs w:val="28"/>
        </w:rPr>
        <w:t>坠撞事件</w:t>
      </w:r>
      <w:proofErr w:type="gramEnd"/>
      <w:r>
        <w:rPr>
          <w:rFonts w:ascii="仿宋_GB2312" w:eastAsia="仿宋_GB2312" w:hAnsi="Calibri" w:cs="仿宋_GB2312" w:hint="eastAsia"/>
          <w:kern w:val="0"/>
          <w:sz w:val="28"/>
          <w:szCs w:val="28"/>
        </w:rPr>
        <w:t>中，事故调查表明局部客舱地板会发生变形，这也在受控</w:t>
      </w:r>
      <w:proofErr w:type="gramStart"/>
      <w:r>
        <w:rPr>
          <w:rFonts w:ascii="仿宋_GB2312" w:eastAsia="仿宋_GB2312" w:hAnsi="Calibri" w:cs="仿宋_GB2312" w:hint="eastAsia"/>
          <w:kern w:val="0"/>
          <w:sz w:val="28"/>
          <w:szCs w:val="28"/>
        </w:rPr>
        <w:t>坠撞试验</w:t>
      </w:r>
      <w:proofErr w:type="gramEnd"/>
      <w:r>
        <w:rPr>
          <w:rFonts w:ascii="仿宋_GB2312" w:eastAsia="仿宋_GB2312" w:hAnsi="Calibri" w:cs="仿宋_GB2312" w:hint="eastAsia"/>
          <w:kern w:val="0"/>
          <w:sz w:val="28"/>
          <w:szCs w:val="28"/>
        </w:rPr>
        <w:t>和垂直坠落试验中得到确认。如果</w:t>
      </w:r>
      <w:proofErr w:type="gramStart"/>
      <w:r>
        <w:rPr>
          <w:rFonts w:ascii="仿宋_GB2312" w:eastAsia="仿宋_GB2312" w:hAnsi="Calibri" w:cs="仿宋_GB2312" w:hint="eastAsia"/>
          <w:kern w:val="0"/>
          <w:sz w:val="28"/>
          <w:szCs w:val="28"/>
        </w:rPr>
        <w:t>在坠撞中</w:t>
      </w:r>
      <w:proofErr w:type="gramEnd"/>
      <w:r>
        <w:rPr>
          <w:rFonts w:ascii="仿宋_GB2312" w:eastAsia="仿宋_GB2312" w:hAnsi="Calibri" w:cs="仿宋_GB2312" w:hint="eastAsia"/>
          <w:kern w:val="0"/>
          <w:sz w:val="28"/>
          <w:szCs w:val="28"/>
        </w:rPr>
        <w:t>座椅不能承受该地板变形，导致无法与地板保持连接以约束住乘员，将对乘员的伤害程度造成显著影响。因此第</w:t>
      </w:r>
      <w:r>
        <w:rPr>
          <w:rFonts w:ascii="仿宋_GB2312" w:eastAsia="仿宋_GB2312" w:hAnsi="Calibri" w:cs="仿宋_GB2312" w:hint="eastAsia"/>
          <w:kern w:val="0"/>
          <w:sz w:val="28"/>
          <w:szCs w:val="28"/>
        </w:rPr>
        <w:t>25.562</w:t>
      </w:r>
      <w:r>
        <w:rPr>
          <w:rFonts w:ascii="仿宋_GB2312" w:eastAsia="仿宋_GB2312" w:hAnsi="Calibri" w:cs="仿宋_GB2312" w:hint="eastAsia"/>
          <w:kern w:val="0"/>
          <w:sz w:val="28"/>
          <w:szCs w:val="28"/>
        </w:rPr>
        <w:t>条要求在规定的地板</w:t>
      </w:r>
      <w:r>
        <w:rPr>
          <w:rFonts w:ascii="仿宋_GB2312" w:eastAsia="仿宋_GB2312" w:hAnsi="Calibri" w:cs="仿宋_GB2312" w:hint="eastAsia"/>
          <w:kern w:val="0"/>
          <w:sz w:val="28"/>
          <w:szCs w:val="28"/>
        </w:rPr>
        <w:lastRenderedPageBreak/>
        <w:t>变形情况下座椅与地板仍然需要保持连接。</w:t>
      </w:r>
    </w:p>
    <w:p w14:paraId="667F0678"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第</w:t>
      </w:r>
      <w:r>
        <w:rPr>
          <w:rFonts w:ascii="仿宋_GB2312" w:eastAsia="仿宋_GB2312" w:hAnsi="Calibri" w:cs="仿宋_GB2312" w:hint="eastAsia"/>
          <w:kern w:val="0"/>
          <w:sz w:val="28"/>
          <w:szCs w:val="28"/>
        </w:rPr>
        <w:t>25.562</w:t>
      </w:r>
      <w:r>
        <w:rPr>
          <w:rFonts w:ascii="仿宋_GB2312" w:eastAsia="仿宋_GB2312" w:hAnsi="Calibri" w:cs="仿宋_GB2312" w:hint="eastAsia"/>
          <w:kern w:val="0"/>
          <w:sz w:val="28"/>
          <w:szCs w:val="28"/>
        </w:rPr>
        <w:t>条适用于乘客座椅，</w:t>
      </w:r>
      <w:r>
        <w:rPr>
          <w:rFonts w:ascii="仿宋_GB2312" w:eastAsia="仿宋_GB2312" w:hAnsi="Calibri" w:cs="仿宋_GB2312" w:hint="eastAsia"/>
          <w:kern w:val="0"/>
          <w:sz w:val="28"/>
          <w:szCs w:val="28"/>
        </w:rPr>
        <w:t>也适用于包括驾驶舱座椅在内的机组座椅。但是有证据表明在可存活的</w:t>
      </w:r>
      <w:proofErr w:type="gramStart"/>
      <w:r>
        <w:rPr>
          <w:rFonts w:ascii="仿宋_GB2312" w:eastAsia="仿宋_GB2312" w:hAnsi="Calibri" w:cs="仿宋_GB2312" w:hint="eastAsia"/>
          <w:kern w:val="0"/>
          <w:sz w:val="28"/>
          <w:szCs w:val="28"/>
        </w:rPr>
        <w:t>坠撞情况</w:t>
      </w:r>
      <w:proofErr w:type="gramEnd"/>
      <w:r>
        <w:rPr>
          <w:rFonts w:ascii="仿宋_GB2312" w:eastAsia="仿宋_GB2312" w:hAnsi="Calibri" w:cs="仿宋_GB2312" w:hint="eastAsia"/>
          <w:kern w:val="0"/>
          <w:sz w:val="28"/>
          <w:szCs w:val="28"/>
        </w:rPr>
        <w:t>下，对于驾驶舱座椅的失效，地板变形不是一个重要因素。虽然在一些事故中也发现驾驶舱地板发生翘曲的情况，但对于驾驶舱地板和机身底部之间具有</w:t>
      </w:r>
      <w:r>
        <w:rPr>
          <w:rFonts w:ascii="仿宋_GB2312" w:eastAsia="仿宋_GB2312" w:hAnsi="Calibri" w:cs="仿宋_GB2312" w:hint="eastAsia"/>
          <w:kern w:val="0"/>
          <w:sz w:val="28"/>
          <w:szCs w:val="28"/>
        </w:rPr>
        <w:t xml:space="preserve">1016mm </w:t>
      </w:r>
      <w:r>
        <w:rPr>
          <w:rFonts w:ascii="仿宋_GB2312" w:eastAsia="仿宋_GB2312" w:hAnsi="Calibri" w:cs="仿宋_GB2312" w:hint="eastAsia"/>
          <w:kern w:val="0"/>
          <w:sz w:val="28"/>
          <w:szCs w:val="28"/>
        </w:rPr>
        <w:t>（</w:t>
      </w:r>
      <w:r>
        <w:rPr>
          <w:rFonts w:ascii="仿宋_GB2312" w:eastAsia="仿宋_GB2312" w:hAnsi="Calibri" w:cs="仿宋_GB2312" w:hint="eastAsia"/>
          <w:kern w:val="0"/>
          <w:sz w:val="28"/>
          <w:szCs w:val="28"/>
        </w:rPr>
        <w:t>40</w:t>
      </w:r>
      <w:r>
        <w:rPr>
          <w:rFonts w:ascii="仿宋_GB2312" w:eastAsia="仿宋_GB2312" w:hAnsi="Calibri" w:cs="仿宋_GB2312" w:hint="eastAsia"/>
          <w:kern w:val="0"/>
          <w:sz w:val="28"/>
          <w:szCs w:val="28"/>
        </w:rPr>
        <w:t>英寸）以上缓冲区域的窄体和宽体飞机来说，由于地板略微翘曲导致驾驶舱座椅与地板无法保持连接的情况不是一个严重问题。</w:t>
      </w:r>
    </w:p>
    <w:p w14:paraId="2C7C9B31" w14:textId="77777777" w:rsidR="003130EF" w:rsidRDefault="006F254A">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纵览</w:t>
      </w:r>
      <w:r>
        <w:rPr>
          <w:rFonts w:ascii="仿宋_GB2312" w:eastAsia="仿宋_GB2312" w:hAnsi="Calibri" w:cs="仿宋_GB2312" w:hint="eastAsia"/>
          <w:kern w:val="0"/>
          <w:sz w:val="28"/>
          <w:szCs w:val="28"/>
        </w:rPr>
        <w:t>CAAC</w:t>
      </w:r>
      <w:r>
        <w:rPr>
          <w:rFonts w:ascii="仿宋_GB2312" w:eastAsia="仿宋_GB2312" w:hAnsi="Calibri" w:cs="仿宋_GB2312" w:hint="eastAsia"/>
          <w:kern w:val="0"/>
          <w:sz w:val="28"/>
          <w:szCs w:val="28"/>
        </w:rPr>
        <w:t>所接受或批准的国外运输类飞机（如</w:t>
      </w:r>
      <w:r>
        <w:rPr>
          <w:rFonts w:ascii="仿宋_GB2312" w:eastAsia="仿宋_GB2312" w:hAnsi="Calibri" w:cs="仿宋_GB2312" w:hint="eastAsia"/>
          <w:kern w:val="0"/>
          <w:sz w:val="28"/>
          <w:szCs w:val="28"/>
        </w:rPr>
        <w:t>B737</w:t>
      </w:r>
      <w:r>
        <w:rPr>
          <w:rFonts w:ascii="仿宋_GB2312" w:eastAsia="仿宋_GB2312" w:hAnsi="Calibri" w:cs="仿宋_GB2312" w:hint="eastAsia"/>
          <w:kern w:val="0"/>
          <w:sz w:val="28"/>
          <w:szCs w:val="28"/>
        </w:rPr>
        <w:t>、</w:t>
      </w:r>
      <w:r>
        <w:rPr>
          <w:rFonts w:ascii="仿宋_GB2312" w:eastAsia="仿宋_GB2312" w:hAnsi="Calibri" w:cs="仿宋_GB2312" w:hint="eastAsia"/>
          <w:kern w:val="0"/>
          <w:sz w:val="28"/>
          <w:szCs w:val="28"/>
        </w:rPr>
        <w:t>A350</w:t>
      </w:r>
      <w:r>
        <w:rPr>
          <w:rFonts w:ascii="仿宋_GB2312" w:eastAsia="仿宋_GB2312" w:hAnsi="Calibri" w:cs="仿宋_GB2312" w:hint="eastAsia"/>
          <w:kern w:val="0"/>
          <w:sz w:val="28"/>
          <w:szCs w:val="28"/>
        </w:rPr>
        <w:t>等）关于第</w:t>
      </w:r>
      <w:r>
        <w:rPr>
          <w:rFonts w:ascii="仿宋_GB2312" w:eastAsia="仿宋_GB2312" w:hAnsi="Calibri" w:cs="仿宋_GB2312" w:hint="eastAsia"/>
          <w:kern w:val="0"/>
          <w:sz w:val="28"/>
          <w:szCs w:val="28"/>
        </w:rPr>
        <w:t>25.562</w:t>
      </w:r>
      <w:r>
        <w:rPr>
          <w:rFonts w:ascii="仿宋_GB2312" w:eastAsia="仿宋_GB2312" w:hAnsi="Calibri" w:cs="仿宋_GB2312" w:hint="eastAsia"/>
          <w:kern w:val="0"/>
          <w:sz w:val="28"/>
          <w:szCs w:val="28"/>
        </w:rPr>
        <w:t>条地板变形的豁免，这些飞机在地板平面与机身底部之间的缓冲区域也都大于</w:t>
      </w:r>
      <w:r>
        <w:rPr>
          <w:rFonts w:ascii="仿宋_GB2312" w:eastAsia="仿宋_GB2312" w:hAnsi="Calibri" w:cs="仿宋_GB2312" w:hint="eastAsia"/>
          <w:kern w:val="0"/>
          <w:sz w:val="28"/>
          <w:szCs w:val="28"/>
        </w:rPr>
        <w:t>1016mm(40</w:t>
      </w:r>
      <w:r>
        <w:rPr>
          <w:rFonts w:ascii="仿宋_GB2312" w:eastAsia="仿宋_GB2312" w:hAnsi="Calibri" w:cs="仿宋_GB2312" w:hint="eastAsia"/>
          <w:kern w:val="0"/>
          <w:sz w:val="28"/>
          <w:szCs w:val="28"/>
        </w:rPr>
        <w:t>英寸</w:t>
      </w:r>
      <w:r>
        <w:rPr>
          <w:rFonts w:ascii="仿宋_GB2312" w:eastAsia="仿宋_GB2312" w:hAnsi="Calibri" w:cs="仿宋_GB2312" w:hint="eastAsia"/>
          <w:kern w:val="0"/>
          <w:sz w:val="28"/>
          <w:szCs w:val="28"/>
        </w:rPr>
        <w:t>)</w:t>
      </w:r>
      <w:r>
        <w:rPr>
          <w:rFonts w:ascii="仿宋_GB2312" w:eastAsia="仿宋_GB2312" w:hAnsi="Calibri" w:cs="仿宋_GB2312" w:hint="eastAsia"/>
          <w:kern w:val="0"/>
          <w:sz w:val="28"/>
          <w:szCs w:val="28"/>
        </w:rPr>
        <w:t>，并作为对应豁免可接受的支撑。鉴于</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飞机的这些设计特征和上述飞机对应的设计特征是相似的，因此评审认为</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飞机驾驶舱座椅豁免</w:t>
      </w:r>
      <w:r>
        <w:rPr>
          <w:rFonts w:ascii="仿宋_GB2312" w:eastAsia="仿宋_GB2312" w:hAnsi="Calibri" w:cs="仿宋_GB2312" w:hint="eastAsia"/>
          <w:kern w:val="0"/>
          <w:sz w:val="28"/>
          <w:szCs w:val="28"/>
        </w:rPr>
        <w:t>CCAR25.562(b)(2)</w:t>
      </w:r>
      <w:r>
        <w:rPr>
          <w:rFonts w:ascii="仿宋_GB2312" w:eastAsia="仿宋_GB2312" w:hAnsi="Calibri" w:cs="仿宋_GB2312" w:hint="eastAsia"/>
          <w:kern w:val="0"/>
          <w:sz w:val="28"/>
          <w:szCs w:val="28"/>
        </w:rPr>
        <w:t>款地板变形要求，在</w:t>
      </w:r>
      <w:proofErr w:type="gramStart"/>
      <w:r>
        <w:rPr>
          <w:rFonts w:ascii="仿宋_GB2312" w:eastAsia="仿宋_GB2312" w:hAnsi="Calibri" w:cs="仿宋_GB2312" w:hint="eastAsia"/>
          <w:kern w:val="0"/>
          <w:sz w:val="28"/>
          <w:szCs w:val="28"/>
        </w:rPr>
        <w:t>坠撞情况</w:t>
      </w:r>
      <w:proofErr w:type="gramEnd"/>
      <w:r>
        <w:rPr>
          <w:rFonts w:ascii="仿宋_GB2312" w:eastAsia="仿宋_GB2312" w:hAnsi="Calibri" w:cs="仿宋_GB2312" w:hint="eastAsia"/>
          <w:kern w:val="0"/>
          <w:sz w:val="28"/>
          <w:szCs w:val="28"/>
        </w:rPr>
        <w:t>下不会对安全有不利影响。</w:t>
      </w:r>
    </w:p>
    <w:p w14:paraId="64A442C4" w14:textId="77777777" w:rsidR="003130EF" w:rsidRDefault="006F254A">
      <w:pPr>
        <w:pStyle w:val="Default"/>
        <w:numPr>
          <w:ilvl w:val="0"/>
          <w:numId w:val="1"/>
        </w:numPr>
        <w:jc w:val="both"/>
        <w:rPr>
          <w:sz w:val="28"/>
          <w:szCs w:val="28"/>
        </w:rPr>
      </w:pPr>
      <w:r>
        <w:rPr>
          <w:rFonts w:hint="eastAsia"/>
          <w:sz w:val="28"/>
          <w:szCs w:val="28"/>
        </w:rPr>
        <w:t>豁免有效期</w:t>
      </w:r>
    </w:p>
    <w:p w14:paraId="2C366EDD" w14:textId="77777777" w:rsidR="003130EF" w:rsidRDefault="006F254A">
      <w:pPr>
        <w:ind w:firstLineChars="200" w:firstLine="560"/>
        <w:rPr>
          <w:rFonts w:ascii="Arial" w:eastAsia="仿宋_GB2312" w:hAnsi="Arial" w:cs="Times New Roman"/>
          <w:sz w:val="28"/>
          <w:szCs w:val="28"/>
        </w:rPr>
      </w:pPr>
      <w:r>
        <w:rPr>
          <w:rFonts w:ascii="Arial" w:eastAsia="仿宋_GB2312" w:hAnsi="Arial" w:cs="Times New Roman" w:hint="eastAsia"/>
          <w:sz w:val="28"/>
          <w:szCs w:val="28"/>
        </w:rPr>
        <w:t>永久</w:t>
      </w:r>
      <w:r>
        <w:rPr>
          <w:rFonts w:ascii="Arial" w:eastAsia="仿宋_GB2312" w:hAnsi="Arial" w:cs="Times New Roman" w:hint="eastAsia"/>
          <w:sz w:val="28"/>
          <w:szCs w:val="28"/>
        </w:rPr>
        <w:t>。</w:t>
      </w:r>
    </w:p>
    <w:p w14:paraId="7CB3B367" w14:textId="77777777" w:rsidR="003130EF" w:rsidRDefault="006F254A">
      <w:pPr>
        <w:pStyle w:val="Default"/>
        <w:numPr>
          <w:ilvl w:val="0"/>
          <w:numId w:val="1"/>
        </w:numPr>
        <w:jc w:val="both"/>
        <w:rPr>
          <w:sz w:val="28"/>
          <w:szCs w:val="28"/>
        </w:rPr>
      </w:pPr>
      <w:r>
        <w:rPr>
          <w:rFonts w:hint="eastAsia"/>
          <w:sz w:val="28"/>
          <w:szCs w:val="28"/>
        </w:rPr>
        <w:t>结论</w:t>
      </w:r>
    </w:p>
    <w:p w14:paraId="213FC3FE" w14:textId="77777777" w:rsidR="003130EF" w:rsidRDefault="006F254A">
      <w:pPr>
        <w:ind w:firstLineChars="200" w:firstLine="560"/>
        <w:rPr>
          <w:rFonts w:ascii="Arial" w:eastAsia="仿宋_GB2312" w:hAnsi="Arial" w:cs="Times New Roman"/>
          <w:sz w:val="28"/>
          <w:szCs w:val="28"/>
        </w:rPr>
      </w:pPr>
      <w:r>
        <w:rPr>
          <w:rFonts w:ascii="Arial" w:eastAsia="仿宋_GB2312" w:hAnsi="Arial" w:cs="Times New Roman" w:hint="eastAsia"/>
          <w:sz w:val="28"/>
          <w:szCs w:val="28"/>
        </w:rPr>
        <w:t>鉴于以上分析，</w:t>
      </w:r>
      <w:r>
        <w:rPr>
          <w:rFonts w:ascii="Arial" w:eastAsia="仿宋_GB2312" w:hAnsi="Arial" w:cs="Times New Roman" w:hint="eastAsia"/>
          <w:sz w:val="28"/>
          <w:szCs w:val="28"/>
        </w:rPr>
        <w:t>拟</w:t>
      </w:r>
      <w:r>
        <w:rPr>
          <w:rFonts w:ascii="Arial" w:eastAsia="仿宋_GB2312" w:hAnsi="Arial" w:cs="Times New Roman" w:hint="eastAsia"/>
          <w:sz w:val="28"/>
          <w:szCs w:val="28"/>
        </w:rPr>
        <w:t>批准此豁免。</w:t>
      </w:r>
    </w:p>
    <w:p w14:paraId="183E315E" w14:textId="77777777" w:rsidR="003130EF" w:rsidRDefault="006F254A">
      <w:pPr>
        <w:pStyle w:val="Default"/>
        <w:jc w:val="both"/>
        <w:rPr>
          <w:rFonts w:ascii="Arial" w:hAnsi="Arial" w:cs="Times New Roman"/>
          <w:color w:val="auto"/>
          <w:kern w:val="2"/>
          <w:sz w:val="28"/>
          <w:szCs w:val="28"/>
        </w:rPr>
      </w:pPr>
      <w:r>
        <w:rPr>
          <w:rFonts w:ascii="Arial" w:hAnsi="Arial" w:cs="Times New Roman" w:hint="eastAsia"/>
          <w:color w:val="auto"/>
          <w:kern w:val="2"/>
          <w:sz w:val="28"/>
          <w:szCs w:val="28"/>
        </w:rPr>
        <w:t>附：《专用条件</w:t>
      </w:r>
      <w:r>
        <w:rPr>
          <w:rFonts w:ascii="Arial" w:hAnsi="Arial" w:cs="Times New Roman"/>
          <w:color w:val="auto"/>
          <w:kern w:val="2"/>
          <w:sz w:val="28"/>
          <w:szCs w:val="28"/>
        </w:rPr>
        <w:t>/</w:t>
      </w:r>
      <w:r>
        <w:rPr>
          <w:rFonts w:ascii="Arial" w:hAnsi="Arial" w:cs="Times New Roman" w:hint="eastAsia"/>
          <w:color w:val="auto"/>
          <w:kern w:val="2"/>
          <w:sz w:val="28"/>
          <w:szCs w:val="28"/>
        </w:rPr>
        <w:t>豁免反馈意见表》（表</w:t>
      </w:r>
      <w:r>
        <w:rPr>
          <w:rFonts w:ascii="Arial" w:hAnsi="Arial" w:cs="Times New Roman" w:hint="eastAsia"/>
          <w:color w:val="auto"/>
          <w:kern w:val="2"/>
          <w:sz w:val="28"/>
          <w:szCs w:val="28"/>
        </w:rPr>
        <w:t>-21</w:t>
      </w:r>
      <w:r>
        <w:rPr>
          <w:rFonts w:ascii="Arial" w:hAnsi="Arial" w:cs="Times New Roman"/>
          <w:color w:val="auto"/>
          <w:kern w:val="2"/>
          <w:sz w:val="28"/>
          <w:szCs w:val="28"/>
        </w:rPr>
        <w:t>-</w:t>
      </w:r>
      <w:r>
        <w:rPr>
          <w:rFonts w:ascii="Arial" w:hAnsi="Arial" w:cs="Times New Roman" w:hint="eastAsia"/>
          <w:color w:val="auto"/>
          <w:kern w:val="2"/>
          <w:sz w:val="28"/>
          <w:szCs w:val="28"/>
        </w:rPr>
        <w:t>145</w:t>
      </w:r>
      <w:r>
        <w:rPr>
          <w:rFonts w:ascii="Arial" w:hAnsi="Arial" w:cs="Times New Roman" w:hint="eastAsia"/>
          <w:color w:val="auto"/>
          <w:kern w:val="2"/>
          <w:sz w:val="28"/>
          <w:szCs w:val="28"/>
        </w:rPr>
        <w:t>）</w:t>
      </w:r>
    </w:p>
    <w:p w14:paraId="6701088C" w14:textId="77777777" w:rsidR="003130EF" w:rsidRDefault="006F254A">
      <w:pPr>
        <w:rPr>
          <w:rFonts w:asciiTheme="minorHAnsi" w:eastAsiaTheme="minorEastAsia" w:hAnsiTheme="minorHAnsi"/>
          <w:szCs w:val="22"/>
        </w:rPr>
      </w:pPr>
      <w:r>
        <w:rPr>
          <w:rFonts w:asciiTheme="minorHAnsi" w:eastAsiaTheme="minorEastAsia" w:hAnsiTheme="minorHAnsi"/>
          <w:szCs w:val="22"/>
        </w:rPr>
        <w:br w:type="page"/>
      </w:r>
    </w:p>
    <w:p w14:paraId="1CBC6A55" w14:textId="77777777" w:rsidR="003130EF" w:rsidRDefault="003130EF">
      <w:pPr>
        <w:autoSpaceDE w:val="0"/>
        <w:autoSpaceDN w:val="0"/>
        <w:adjustRightInd w:val="0"/>
        <w:spacing w:line="463" w:lineRule="exact"/>
        <w:jc w:val="left"/>
        <w:rPr>
          <w:rFonts w:ascii="仿宋_GB2312" w:eastAsia="仿宋_GB2312" w:hAnsi="Times New Roman" w:cs="Times New Roman"/>
          <w:sz w:val="32"/>
          <w:szCs w:val="32"/>
        </w:rPr>
      </w:pPr>
    </w:p>
    <w:p w14:paraId="498547E5" w14:textId="77777777" w:rsidR="003130EF" w:rsidRDefault="006F254A">
      <w:pPr>
        <w:autoSpaceDE w:val="0"/>
        <w:autoSpaceDN w:val="0"/>
        <w:adjustRightInd w:val="0"/>
        <w:spacing w:line="463" w:lineRule="exact"/>
        <w:jc w:val="center"/>
        <w:rPr>
          <w:rFonts w:ascii="仿宋_GB2312" w:eastAsia="仿宋_GB2312" w:hAnsi="Arial" w:cs="Microsoft JhengHei"/>
          <w:kern w:val="0"/>
          <w:sz w:val="28"/>
          <w:szCs w:val="28"/>
        </w:rPr>
      </w:pPr>
      <w:r>
        <w:rPr>
          <w:rFonts w:ascii="仿宋_GB2312" w:eastAsia="仿宋_GB2312" w:hAnsi="Times New Roman" w:cs="Microsoft JhengHei" w:hint="eastAsia"/>
          <w:kern w:val="0"/>
          <w:position w:val="-4"/>
          <w:sz w:val="28"/>
          <w:szCs w:val="28"/>
        </w:rPr>
        <w:t>专用条件</w:t>
      </w:r>
      <w:r>
        <w:rPr>
          <w:rFonts w:ascii="仿宋_GB2312" w:eastAsia="仿宋_GB2312" w:hAnsi="Arial" w:cs="Arial" w:hint="eastAsia"/>
          <w:kern w:val="0"/>
          <w:position w:val="-4"/>
          <w:sz w:val="28"/>
          <w:szCs w:val="28"/>
        </w:rPr>
        <w:t>/</w:t>
      </w:r>
      <w:r>
        <w:rPr>
          <w:rFonts w:ascii="仿宋_GB2312" w:eastAsia="仿宋_GB2312" w:hAnsi="Arial" w:cs="Microsoft JhengHei" w:hint="eastAsia"/>
          <w:kern w:val="0"/>
          <w:position w:val="-4"/>
          <w:sz w:val="28"/>
          <w:szCs w:val="28"/>
        </w:rPr>
        <w:t>豁免反馈意见表</w:t>
      </w:r>
    </w:p>
    <w:p w14:paraId="4E05295E" w14:textId="77777777" w:rsidR="003130EF" w:rsidRDefault="003130EF">
      <w:pPr>
        <w:autoSpaceDE w:val="0"/>
        <w:autoSpaceDN w:val="0"/>
        <w:adjustRightInd w:val="0"/>
        <w:spacing w:before="3" w:line="160" w:lineRule="exact"/>
        <w:jc w:val="left"/>
        <w:rPr>
          <w:rFonts w:ascii="仿宋_GB2312" w:eastAsia="仿宋_GB2312" w:hAnsi="Arial" w:cs="Microsoft JhengHei"/>
          <w:kern w:val="0"/>
          <w:sz w:val="16"/>
          <w:szCs w:val="16"/>
        </w:rPr>
      </w:pPr>
    </w:p>
    <w:tbl>
      <w:tblPr>
        <w:tblW w:w="8687" w:type="dxa"/>
        <w:tblInd w:w="107" w:type="dxa"/>
        <w:tblLayout w:type="fixed"/>
        <w:tblCellMar>
          <w:left w:w="0" w:type="dxa"/>
          <w:right w:w="0" w:type="dxa"/>
        </w:tblCellMar>
        <w:tblLook w:val="04A0" w:firstRow="1" w:lastRow="0" w:firstColumn="1" w:lastColumn="0" w:noHBand="0" w:noVBand="1"/>
      </w:tblPr>
      <w:tblGrid>
        <w:gridCol w:w="694"/>
        <w:gridCol w:w="1134"/>
        <w:gridCol w:w="285"/>
        <w:gridCol w:w="6574"/>
      </w:tblGrid>
      <w:tr w:rsidR="003130EF" w14:paraId="2B021380" w14:textId="77777777">
        <w:trPr>
          <w:trHeight w:hRule="exact" w:val="643"/>
        </w:trPr>
        <w:tc>
          <w:tcPr>
            <w:tcW w:w="694" w:type="dxa"/>
            <w:tcBorders>
              <w:top w:val="single" w:sz="4" w:space="0" w:color="000000"/>
              <w:left w:val="single" w:sz="4" w:space="0" w:color="000000"/>
              <w:bottom w:val="single" w:sz="4" w:space="0" w:color="000000"/>
              <w:right w:val="single" w:sz="4" w:space="0" w:color="000000"/>
            </w:tcBorders>
          </w:tcPr>
          <w:p w14:paraId="1A9F59A0" w14:textId="77777777" w:rsidR="003130EF" w:rsidRDefault="006F254A">
            <w:pPr>
              <w:autoSpaceDE w:val="0"/>
              <w:autoSpaceDN w:val="0"/>
              <w:adjustRightInd w:val="0"/>
              <w:spacing w:before="9"/>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类别</w:t>
            </w:r>
          </w:p>
        </w:tc>
        <w:tc>
          <w:tcPr>
            <w:tcW w:w="7993" w:type="dxa"/>
            <w:gridSpan w:val="3"/>
            <w:tcBorders>
              <w:top w:val="single" w:sz="4" w:space="0" w:color="000000"/>
              <w:left w:val="single" w:sz="4" w:space="0" w:color="000000"/>
              <w:bottom w:val="single" w:sz="4" w:space="0" w:color="000000"/>
              <w:right w:val="single" w:sz="4" w:space="0" w:color="000000"/>
            </w:tcBorders>
          </w:tcPr>
          <w:p w14:paraId="31D50293" w14:textId="77777777" w:rsidR="003130EF" w:rsidRDefault="006F254A">
            <w:pPr>
              <w:autoSpaceDE w:val="0"/>
              <w:autoSpaceDN w:val="0"/>
              <w:adjustRightInd w:val="0"/>
              <w:spacing w:before="9"/>
              <w:ind w:left="1331"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w w:val="107"/>
                <w:kern w:val="0"/>
                <w:sz w:val="28"/>
                <w:szCs w:val="28"/>
              </w:rPr>
              <w:t>□</w:t>
            </w:r>
            <w:r>
              <w:rPr>
                <w:rFonts w:ascii="仿宋_GB2312" w:eastAsia="仿宋_GB2312" w:hAnsi="Times New Roman" w:cs="Microsoft JhengHei" w:hint="eastAsia"/>
                <w:spacing w:val="1"/>
                <w:w w:val="107"/>
                <w:kern w:val="0"/>
                <w:sz w:val="28"/>
                <w:szCs w:val="28"/>
              </w:rPr>
              <w:t>专用条件</w:t>
            </w:r>
            <w:r>
              <w:rPr>
                <w:rFonts w:ascii="仿宋_GB2312" w:eastAsia="仿宋_GB2312" w:hAnsi="Times New Roman" w:cs="Microsoft JhengHei" w:hint="eastAsia"/>
                <w:spacing w:val="1"/>
                <w:w w:val="107"/>
                <w:kern w:val="0"/>
                <w:sz w:val="28"/>
                <w:szCs w:val="28"/>
              </w:rPr>
              <w:t xml:space="preserve"> </w:t>
            </w:r>
            <w:r>
              <w:rPr>
                <w:rFonts w:ascii="仿宋_GB2312" w:eastAsia="仿宋_GB2312" w:hAnsi="Times New Roman" w:cs="Microsoft JhengHei"/>
                <w:spacing w:val="1"/>
                <w:w w:val="107"/>
                <w:kern w:val="0"/>
                <w:sz w:val="28"/>
                <w:szCs w:val="28"/>
              </w:rPr>
              <w:t xml:space="preserve"> </w:t>
            </w:r>
            <w:r>
              <w:rPr>
                <w:rFonts w:ascii="仿宋_GB2312" w:eastAsia="仿宋_GB2312" w:hAnsi="Times New Roman" w:cs="Microsoft JhengHei" w:hint="eastAsia"/>
                <w:spacing w:val="1"/>
                <w:w w:val="107"/>
                <w:kern w:val="0"/>
                <w:sz w:val="28"/>
                <w:szCs w:val="28"/>
              </w:rPr>
              <w:t>□</w:t>
            </w:r>
            <w:r>
              <w:rPr>
                <w:rFonts w:ascii="仿宋_GB2312" w:eastAsia="仿宋_GB2312" w:hAnsi="Times New Roman" w:cs="Microsoft JhengHei" w:hint="eastAsia"/>
                <w:spacing w:val="1"/>
                <w:w w:val="107"/>
                <w:kern w:val="0"/>
                <w:sz w:val="28"/>
                <w:szCs w:val="28"/>
              </w:rPr>
              <w:t>豁免</w:t>
            </w:r>
          </w:p>
        </w:tc>
      </w:tr>
      <w:tr w:rsidR="003130EF" w14:paraId="6854C3E9" w14:textId="77777777">
        <w:trPr>
          <w:trHeight w:hRule="exact" w:val="634"/>
        </w:trPr>
        <w:tc>
          <w:tcPr>
            <w:tcW w:w="2113" w:type="dxa"/>
            <w:gridSpan w:val="3"/>
            <w:tcBorders>
              <w:top w:val="single" w:sz="4" w:space="0" w:color="000000"/>
              <w:left w:val="single" w:sz="4" w:space="0" w:color="000000"/>
              <w:bottom w:val="single" w:sz="4" w:space="0" w:color="000000"/>
              <w:right w:val="single" w:sz="4" w:space="0" w:color="000000"/>
            </w:tcBorders>
          </w:tcPr>
          <w:p w14:paraId="5AF99F9A" w14:textId="77777777" w:rsidR="003130EF" w:rsidRDefault="006F254A">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征求意见稿编号</w:t>
            </w:r>
          </w:p>
        </w:tc>
        <w:tc>
          <w:tcPr>
            <w:tcW w:w="6574" w:type="dxa"/>
            <w:tcBorders>
              <w:top w:val="single" w:sz="4" w:space="0" w:color="000000"/>
              <w:left w:val="single" w:sz="4" w:space="0" w:color="000000"/>
              <w:bottom w:val="single" w:sz="4" w:space="0" w:color="000000"/>
              <w:right w:val="single" w:sz="4" w:space="0" w:color="000000"/>
            </w:tcBorders>
          </w:tcPr>
          <w:p w14:paraId="6FAEE410" w14:textId="77777777" w:rsidR="003130EF" w:rsidRDefault="003130EF">
            <w:pPr>
              <w:autoSpaceDE w:val="0"/>
              <w:autoSpaceDN w:val="0"/>
              <w:adjustRightInd w:val="0"/>
              <w:ind w:left="52" w:right="-20"/>
              <w:jc w:val="left"/>
              <w:rPr>
                <w:rFonts w:ascii="仿宋_GB2312" w:eastAsia="仿宋_GB2312" w:hAnsi="Times New Roman" w:cs="Times New Roman"/>
                <w:kern w:val="0"/>
                <w:sz w:val="24"/>
                <w:szCs w:val="24"/>
              </w:rPr>
            </w:pPr>
          </w:p>
        </w:tc>
      </w:tr>
      <w:tr w:rsidR="003130EF" w14:paraId="3197EB48" w14:textId="77777777">
        <w:trPr>
          <w:trHeight w:hRule="exact" w:val="634"/>
        </w:trPr>
        <w:tc>
          <w:tcPr>
            <w:tcW w:w="1828" w:type="dxa"/>
            <w:gridSpan w:val="2"/>
            <w:tcBorders>
              <w:top w:val="single" w:sz="4" w:space="0" w:color="000000"/>
              <w:left w:val="single" w:sz="4" w:space="0" w:color="000000"/>
              <w:bottom w:val="single" w:sz="4" w:space="0" w:color="000000"/>
              <w:right w:val="single" w:sz="4" w:space="0" w:color="000000"/>
            </w:tcBorders>
          </w:tcPr>
          <w:p w14:paraId="457E3E82" w14:textId="77777777" w:rsidR="003130EF" w:rsidRDefault="006F254A">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航空产品型号</w:t>
            </w:r>
          </w:p>
        </w:tc>
        <w:tc>
          <w:tcPr>
            <w:tcW w:w="6859" w:type="dxa"/>
            <w:gridSpan w:val="2"/>
            <w:tcBorders>
              <w:top w:val="single" w:sz="4" w:space="0" w:color="000000"/>
              <w:left w:val="single" w:sz="4" w:space="0" w:color="000000"/>
              <w:bottom w:val="single" w:sz="4" w:space="0" w:color="000000"/>
              <w:right w:val="single" w:sz="4" w:space="0" w:color="000000"/>
            </w:tcBorders>
          </w:tcPr>
          <w:p w14:paraId="020F4D9F" w14:textId="77777777" w:rsidR="003130EF" w:rsidRDefault="003130EF">
            <w:pPr>
              <w:autoSpaceDE w:val="0"/>
              <w:autoSpaceDN w:val="0"/>
              <w:adjustRightInd w:val="0"/>
              <w:ind w:left="52" w:right="-20"/>
              <w:jc w:val="left"/>
              <w:rPr>
                <w:rFonts w:ascii="仿宋_GB2312" w:eastAsia="仿宋_GB2312" w:hAnsi="Times New Roman" w:cs="Times New Roman"/>
                <w:kern w:val="0"/>
                <w:sz w:val="24"/>
                <w:szCs w:val="24"/>
              </w:rPr>
            </w:pPr>
          </w:p>
        </w:tc>
      </w:tr>
      <w:tr w:rsidR="003130EF" w14:paraId="291B208F"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0495B124" w14:textId="77777777" w:rsidR="003130EF" w:rsidRDefault="006F254A">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相关的适航规章和</w:t>
            </w:r>
            <w:r>
              <w:rPr>
                <w:rFonts w:ascii="仿宋_GB2312" w:eastAsia="仿宋_GB2312" w:hAnsi="Times New Roman" w:cs="Microsoft JhengHei" w:hint="eastAsia"/>
                <w:spacing w:val="1"/>
                <w:kern w:val="0"/>
                <w:sz w:val="28"/>
                <w:szCs w:val="28"/>
              </w:rPr>
              <w:t>/</w:t>
            </w:r>
            <w:r>
              <w:rPr>
                <w:rFonts w:ascii="仿宋_GB2312" w:eastAsia="仿宋_GB2312" w:hAnsi="Times New Roman" w:cs="Microsoft JhengHei" w:hint="eastAsia"/>
                <w:spacing w:val="1"/>
                <w:kern w:val="0"/>
                <w:sz w:val="28"/>
                <w:szCs w:val="28"/>
              </w:rPr>
              <w:t>或环保要求</w:t>
            </w:r>
          </w:p>
        </w:tc>
      </w:tr>
      <w:tr w:rsidR="003130EF" w14:paraId="07E55EDA" w14:textId="77777777">
        <w:trPr>
          <w:trHeight w:hRule="exact" w:val="1578"/>
        </w:trPr>
        <w:tc>
          <w:tcPr>
            <w:tcW w:w="8687" w:type="dxa"/>
            <w:gridSpan w:val="4"/>
            <w:tcBorders>
              <w:top w:val="single" w:sz="4" w:space="0" w:color="000000"/>
              <w:left w:val="single" w:sz="4" w:space="0" w:color="000000"/>
              <w:bottom w:val="single" w:sz="4" w:space="0" w:color="000000"/>
              <w:right w:val="single" w:sz="4" w:space="0" w:color="000000"/>
            </w:tcBorders>
          </w:tcPr>
          <w:p w14:paraId="57DEA643" w14:textId="77777777" w:rsidR="003130EF" w:rsidRDefault="003130EF">
            <w:pPr>
              <w:autoSpaceDE w:val="0"/>
              <w:autoSpaceDN w:val="0"/>
              <w:adjustRightInd w:val="0"/>
              <w:ind w:left="127" w:right="-20"/>
              <w:jc w:val="left"/>
              <w:rPr>
                <w:rFonts w:ascii="仿宋_GB2312" w:eastAsia="仿宋_GB2312" w:hAnsi="Times New Roman" w:cs="Times New Roman"/>
                <w:kern w:val="0"/>
                <w:sz w:val="24"/>
                <w:szCs w:val="24"/>
              </w:rPr>
            </w:pPr>
          </w:p>
        </w:tc>
      </w:tr>
      <w:tr w:rsidR="003130EF" w14:paraId="1E2590B8"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3E8D3C2C" w14:textId="77777777" w:rsidR="003130EF" w:rsidRDefault="006F254A">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kern w:val="0"/>
                <w:sz w:val="28"/>
                <w:szCs w:val="28"/>
              </w:rPr>
              <w:t>意见或建议</w:t>
            </w:r>
          </w:p>
        </w:tc>
      </w:tr>
      <w:tr w:rsidR="003130EF" w14:paraId="74574E08" w14:textId="77777777">
        <w:trPr>
          <w:trHeight w:hRule="exact" w:val="4372"/>
        </w:trPr>
        <w:tc>
          <w:tcPr>
            <w:tcW w:w="8687" w:type="dxa"/>
            <w:gridSpan w:val="4"/>
            <w:tcBorders>
              <w:top w:val="single" w:sz="4" w:space="0" w:color="000000"/>
              <w:left w:val="single" w:sz="4" w:space="0" w:color="000000"/>
              <w:bottom w:val="single" w:sz="4" w:space="0" w:color="000000"/>
              <w:right w:val="single" w:sz="4" w:space="0" w:color="000000"/>
            </w:tcBorders>
          </w:tcPr>
          <w:p w14:paraId="22CA8F89" w14:textId="77777777" w:rsidR="003130EF" w:rsidRDefault="003130EF">
            <w:pPr>
              <w:autoSpaceDE w:val="0"/>
              <w:autoSpaceDN w:val="0"/>
              <w:adjustRightInd w:val="0"/>
              <w:ind w:left="178" w:right="-20"/>
              <w:jc w:val="left"/>
              <w:rPr>
                <w:rFonts w:ascii="仿宋_GB2312" w:eastAsia="仿宋_GB2312" w:hAnsi="Times New Roman" w:cs="Times New Roman"/>
                <w:kern w:val="0"/>
                <w:sz w:val="24"/>
                <w:szCs w:val="24"/>
              </w:rPr>
            </w:pPr>
          </w:p>
        </w:tc>
      </w:tr>
      <w:tr w:rsidR="003130EF" w14:paraId="4AD2E86F" w14:textId="77777777">
        <w:trPr>
          <w:trHeight w:hRule="exact" w:val="3380"/>
        </w:trPr>
        <w:tc>
          <w:tcPr>
            <w:tcW w:w="8687" w:type="dxa"/>
            <w:gridSpan w:val="4"/>
            <w:tcBorders>
              <w:top w:val="single" w:sz="4" w:space="0" w:color="000000"/>
              <w:left w:val="single" w:sz="4" w:space="0" w:color="000000"/>
              <w:bottom w:val="single" w:sz="4" w:space="0" w:color="000000"/>
              <w:right w:val="single" w:sz="4" w:space="0" w:color="000000"/>
            </w:tcBorders>
          </w:tcPr>
          <w:p w14:paraId="32AB17A2" w14:textId="77777777" w:rsidR="003130EF" w:rsidRDefault="003130EF">
            <w:pPr>
              <w:autoSpaceDE w:val="0"/>
              <w:autoSpaceDN w:val="0"/>
              <w:adjustRightInd w:val="0"/>
              <w:spacing w:before="2" w:line="110" w:lineRule="exact"/>
              <w:jc w:val="left"/>
              <w:rPr>
                <w:rFonts w:ascii="仿宋_GB2312" w:eastAsia="仿宋_GB2312" w:hAnsi="Times New Roman" w:cs="Times New Roman"/>
                <w:kern w:val="0"/>
                <w:sz w:val="11"/>
                <w:szCs w:val="11"/>
              </w:rPr>
            </w:pPr>
          </w:p>
          <w:p w14:paraId="197817CC" w14:textId="77777777" w:rsidR="003130EF" w:rsidRDefault="003130EF">
            <w:pPr>
              <w:autoSpaceDE w:val="0"/>
              <w:autoSpaceDN w:val="0"/>
              <w:adjustRightInd w:val="0"/>
              <w:spacing w:line="200" w:lineRule="exact"/>
              <w:jc w:val="left"/>
              <w:rPr>
                <w:rFonts w:ascii="仿宋_GB2312" w:eastAsia="仿宋_GB2312" w:hAnsi="Times New Roman" w:cs="Times New Roman"/>
                <w:kern w:val="0"/>
                <w:sz w:val="20"/>
                <w:szCs w:val="20"/>
              </w:rPr>
            </w:pPr>
          </w:p>
          <w:p w14:paraId="73EBA0D3" w14:textId="77777777" w:rsidR="003130EF" w:rsidRDefault="006F254A">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kern w:val="0"/>
                <w:sz w:val="28"/>
                <w:szCs w:val="28"/>
              </w:rPr>
              <w:t>姓名</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（印刷体</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2"/>
                <w:kern w:val="0"/>
                <w:sz w:val="28"/>
                <w:szCs w:val="28"/>
                <w:u w:val="single"/>
              </w:rPr>
              <w:t xml:space="preserve"> </w:t>
            </w:r>
            <w:r>
              <w:rPr>
                <w:rFonts w:ascii="仿宋_GB2312" w:eastAsia="仿宋_GB2312" w:hAnsi="Times New Roman" w:cs="Microsoft JhengHei"/>
                <w:spacing w:val="2"/>
                <w:kern w:val="0"/>
                <w:sz w:val="28"/>
                <w:szCs w:val="28"/>
                <w:u w:val="single"/>
              </w:rPr>
              <w:t xml:space="preserve">       </w:t>
            </w:r>
            <w:r>
              <w:rPr>
                <w:rFonts w:ascii="仿宋_GB2312" w:eastAsia="仿宋_GB2312" w:hAnsi="Times New Roman" w:cs="Microsoft JhengHei"/>
                <w:spacing w:val="69"/>
                <w:kern w:val="0"/>
                <w:sz w:val="28"/>
                <w:szCs w:val="28"/>
                <w:u w:val="single"/>
              </w:rPr>
              <w:t xml:space="preserve">     </w:t>
            </w:r>
            <w:r>
              <w:rPr>
                <w:rFonts w:ascii="仿宋_GB2312" w:eastAsia="仿宋_GB2312" w:hAnsi="Times New Roman" w:cs="Microsoft JhengHei" w:hint="eastAsia"/>
                <w:kern w:val="0"/>
                <w:sz w:val="28"/>
                <w:szCs w:val="28"/>
              </w:rPr>
              <w:t>（签名）</w:t>
            </w:r>
            <w:r>
              <w:rPr>
                <w:rFonts w:ascii="仿宋_GB2312" w:eastAsia="仿宋_GB2312" w:hAnsi="Times New Roman" w:cs="Microsoft JhengHei" w:hint="eastAsia"/>
                <w:kern w:val="0"/>
                <w:sz w:val="28"/>
                <w:szCs w:val="28"/>
              </w:rPr>
              <w:t xml:space="preserve"> </w:t>
            </w:r>
          </w:p>
          <w:p w14:paraId="149F83B6" w14:textId="77777777" w:rsidR="003130EF" w:rsidRDefault="006F254A">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kern w:val="0"/>
                <w:sz w:val="28"/>
                <w:szCs w:val="28"/>
              </w:rPr>
              <w:t>电话</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传真</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w w:val="99"/>
                <w:kern w:val="0"/>
                <w:sz w:val="28"/>
                <w:szCs w:val="28"/>
              </w:rPr>
              <w:t>电子邮箱：</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 xml:space="preserve"> </w:t>
            </w:r>
          </w:p>
          <w:p w14:paraId="6F7EB02D" w14:textId="77777777" w:rsidR="003130EF" w:rsidRDefault="006F254A">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w w:val="99"/>
                <w:kern w:val="0"/>
                <w:sz w:val="28"/>
                <w:szCs w:val="28"/>
              </w:rPr>
              <w:t>通信地址</w:t>
            </w:r>
            <w:r>
              <w:rPr>
                <w:rFonts w:ascii="仿宋_GB2312" w:eastAsia="仿宋_GB2312" w:hAnsi="Times New Roman" w:cs="Microsoft JhengHei" w:hint="eastAsia"/>
                <w:spacing w:val="2"/>
                <w:w w:val="99"/>
                <w:kern w:val="0"/>
                <w:sz w:val="28"/>
                <w:szCs w:val="28"/>
              </w:rPr>
              <w:t>：</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 xml:space="preserve"> </w:t>
            </w:r>
          </w:p>
          <w:p w14:paraId="5EA1641F" w14:textId="77777777" w:rsidR="003130EF" w:rsidRDefault="006F254A">
            <w:pPr>
              <w:tabs>
                <w:tab w:val="left" w:pos="3318"/>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Times New Roman"/>
                <w:kern w:val="0"/>
                <w:sz w:val="24"/>
                <w:szCs w:val="24"/>
              </w:rPr>
            </w:pPr>
            <w:r>
              <w:rPr>
                <w:rFonts w:ascii="仿宋_GB2312" w:eastAsia="仿宋_GB2312" w:hAnsi="Times New Roman" w:cs="Microsoft JhengHei" w:hint="eastAsia"/>
                <w:w w:val="99"/>
                <w:kern w:val="0"/>
                <w:sz w:val="28"/>
                <w:szCs w:val="28"/>
              </w:rPr>
              <w:t>日期</w:t>
            </w:r>
            <w:r>
              <w:rPr>
                <w:rFonts w:ascii="仿宋_GB2312" w:eastAsia="仿宋_GB2312" w:hAnsi="Times New Roman" w:cs="Microsoft JhengHei" w:hint="eastAsia"/>
                <w:spacing w:val="2"/>
                <w:w w:val="99"/>
                <w:kern w:val="0"/>
                <w:sz w:val="28"/>
                <w:szCs w:val="28"/>
              </w:rPr>
              <w:t>：</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p>
        </w:tc>
      </w:tr>
    </w:tbl>
    <w:p w14:paraId="57650EF0" w14:textId="77777777" w:rsidR="003130EF" w:rsidRDefault="006F254A">
      <w:pPr>
        <w:autoSpaceDE w:val="0"/>
        <w:autoSpaceDN w:val="0"/>
        <w:adjustRightInd w:val="0"/>
        <w:spacing w:line="278" w:lineRule="exact"/>
        <w:ind w:left="118" w:right="-20" w:firstLineChars="100" w:firstLine="210"/>
        <w:jc w:val="left"/>
        <w:rPr>
          <w:rFonts w:cs="Times New Roman"/>
          <w:sz w:val="28"/>
          <w:szCs w:val="28"/>
        </w:rPr>
      </w:pPr>
      <w:r>
        <w:rPr>
          <w:rFonts w:ascii="Times New Roman" w:hAnsi="Times New Roman" w:cs="Times New Roman" w:hint="eastAsia"/>
          <w:kern w:val="0"/>
        </w:rPr>
        <w:t>表</w:t>
      </w:r>
      <w:r>
        <w:rPr>
          <w:rFonts w:ascii="Times New Roman" w:hAnsi="Times New Roman" w:cs="Times New Roman" w:hint="eastAsia"/>
          <w:kern w:val="0"/>
        </w:rPr>
        <w:t>-21-145-2023</w:t>
      </w:r>
    </w:p>
    <w:sectPr w:rsidR="003130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A1094"/>
    <w:multiLevelType w:val="multilevel"/>
    <w:tmpl w:val="17FA1094"/>
    <w:lvl w:ilvl="0">
      <w:start w:val="1"/>
      <w:numFmt w:val="decimal"/>
      <w:lvlText w:val="%1."/>
      <w:lvlJc w:val="left"/>
      <w:pPr>
        <w:ind w:left="420" w:hanging="420"/>
      </w:pPr>
      <w:rPr>
        <w:rFonts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2MDBiMDVmNjkxODJiY2ZhYTE3ODcwZDU3NDJjODcifQ=="/>
  </w:docVars>
  <w:rsids>
    <w:rsidRoot w:val="00172A27"/>
    <w:rsid w:val="BD7760DD"/>
    <w:rsid w:val="00023EEE"/>
    <w:rsid w:val="0004275E"/>
    <w:rsid w:val="00050FE8"/>
    <w:rsid w:val="000537FF"/>
    <w:rsid w:val="00056653"/>
    <w:rsid w:val="000678DA"/>
    <w:rsid w:val="00083B8D"/>
    <w:rsid w:val="0008766C"/>
    <w:rsid w:val="000D747A"/>
    <w:rsid w:val="000E3ADD"/>
    <w:rsid w:val="000F62A7"/>
    <w:rsid w:val="00123C7D"/>
    <w:rsid w:val="00172A27"/>
    <w:rsid w:val="0019370B"/>
    <w:rsid w:val="001A1FFA"/>
    <w:rsid w:val="001E6BC6"/>
    <w:rsid w:val="001F19F8"/>
    <w:rsid w:val="001F202B"/>
    <w:rsid w:val="001F7D58"/>
    <w:rsid w:val="00212156"/>
    <w:rsid w:val="002203A8"/>
    <w:rsid w:val="0022172A"/>
    <w:rsid w:val="00227A4A"/>
    <w:rsid w:val="002374F4"/>
    <w:rsid w:val="002431BE"/>
    <w:rsid w:val="002506B4"/>
    <w:rsid w:val="00276806"/>
    <w:rsid w:val="00277F4C"/>
    <w:rsid w:val="002936B9"/>
    <w:rsid w:val="002B2190"/>
    <w:rsid w:val="002C16F3"/>
    <w:rsid w:val="002C400B"/>
    <w:rsid w:val="002D7377"/>
    <w:rsid w:val="002E791E"/>
    <w:rsid w:val="003130EF"/>
    <w:rsid w:val="00315475"/>
    <w:rsid w:val="00364360"/>
    <w:rsid w:val="003813FB"/>
    <w:rsid w:val="003828E1"/>
    <w:rsid w:val="00390CF7"/>
    <w:rsid w:val="003B43CE"/>
    <w:rsid w:val="003B532A"/>
    <w:rsid w:val="003E5933"/>
    <w:rsid w:val="003F3A52"/>
    <w:rsid w:val="0041373F"/>
    <w:rsid w:val="00432D39"/>
    <w:rsid w:val="004C0D9C"/>
    <w:rsid w:val="004D6B56"/>
    <w:rsid w:val="004E09CE"/>
    <w:rsid w:val="004E537F"/>
    <w:rsid w:val="004E58FA"/>
    <w:rsid w:val="004F0E11"/>
    <w:rsid w:val="004F3A59"/>
    <w:rsid w:val="005119D7"/>
    <w:rsid w:val="0051521D"/>
    <w:rsid w:val="005222A0"/>
    <w:rsid w:val="00523CFC"/>
    <w:rsid w:val="0055344A"/>
    <w:rsid w:val="00577D42"/>
    <w:rsid w:val="005B024D"/>
    <w:rsid w:val="005C52D6"/>
    <w:rsid w:val="005D2CB9"/>
    <w:rsid w:val="005E74D8"/>
    <w:rsid w:val="005F6A8D"/>
    <w:rsid w:val="006178C4"/>
    <w:rsid w:val="0064505D"/>
    <w:rsid w:val="00666F78"/>
    <w:rsid w:val="006924FE"/>
    <w:rsid w:val="00693BF9"/>
    <w:rsid w:val="006A0AE8"/>
    <w:rsid w:val="006D0497"/>
    <w:rsid w:val="006F254A"/>
    <w:rsid w:val="0070053C"/>
    <w:rsid w:val="00701B26"/>
    <w:rsid w:val="0074559F"/>
    <w:rsid w:val="00793D25"/>
    <w:rsid w:val="00795F67"/>
    <w:rsid w:val="00796213"/>
    <w:rsid w:val="00797C76"/>
    <w:rsid w:val="007B2E1D"/>
    <w:rsid w:val="007B5FEF"/>
    <w:rsid w:val="00804080"/>
    <w:rsid w:val="0083487E"/>
    <w:rsid w:val="0083566B"/>
    <w:rsid w:val="0084723D"/>
    <w:rsid w:val="00856CAF"/>
    <w:rsid w:val="008656AB"/>
    <w:rsid w:val="008879B4"/>
    <w:rsid w:val="00893936"/>
    <w:rsid w:val="008955B8"/>
    <w:rsid w:val="008A3064"/>
    <w:rsid w:val="008B5A49"/>
    <w:rsid w:val="008C395F"/>
    <w:rsid w:val="008C6B89"/>
    <w:rsid w:val="008D3E9D"/>
    <w:rsid w:val="008E1EEB"/>
    <w:rsid w:val="00915D99"/>
    <w:rsid w:val="00923377"/>
    <w:rsid w:val="00931EE9"/>
    <w:rsid w:val="00943420"/>
    <w:rsid w:val="00957AE8"/>
    <w:rsid w:val="00971606"/>
    <w:rsid w:val="00990357"/>
    <w:rsid w:val="00997364"/>
    <w:rsid w:val="009B347C"/>
    <w:rsid w:val="00A075B2"/>
    <w:rsid w:val="00A1350A"/>
    <w:rsid w:val="00A1781C"/>
    <w:rsid w:val="00A2488D"/>
    <w:rsid w:val="00A54690"/>
    <w:rsid w:val="00A74A2E"/>
    <w:rsid w:val="00AB43E3"/>
    <w:rsid w:val="00AC0593"/>
    <w:rsid w:val="00AD2E20"/>
    <w:rsid w:val="00AD5D13"/>
    <w:rsid w:val="00AD758D"/>
    <w:rsid w:val="00AE44D5"/>
    <w:rsid w:val="00AE4C09"/>
    <w:rsid w:val="00AE512D"/>
    <w:rsid w:val="00B12DFA"/>
    <w:rsid w:val="00B1431D"/>
    <w:rsid w:val="00B150FE"/>
    <w:rsid w:val="00B32BBA"/>
    <w:rsid w:val="00B561FE"/>
    <w:rsid w:val="00B64D7D"/>
    <w:rsid w:val="00B6777A"/>
    <w:rsid w:val="00BA0E96"/>
    <w:rsid w:val="00BE7215"/>
    <w:rsid w:val="00BF439E"/>
    <w:rsid w:val="00C26606"/>
    <w:rsid w:val="00C30A57"/>
    <w:rsid w:val="00C4486D"/>
    <w:rsid w:val="00C50E6F"/>
    <w:rsid w:val="00C529B9"/>
    <w:rsid w:val="00C5629D"/>
    <w:rsid w:val="00C6376F"/>
    <w:rsid w:val="00C7009E"/>
    <w:rsid w:val="00C716E2"/>
    <w:rsid w:val="00C92117"/>
    <w:rsid w:val="00CA57B8"/>
    <w:rsid w:val="00D00395"/>
    <w:rsid w:val="00D0248D"/>
    <w:rsid w:val="00D21475"/>
    <w:rsid w:val="00D609F2"/>
    <w:rsid w:val="00D8461F"/>
    <w:rsid w:val="00D86192"/>
    <w:rsid w:val="00D90C4C"/>
    <w:rsid w:val="00DA3DDC"/>
    <w:rsid w:val="00DD5FE1"/>
    <w:rsid w:val="00DF0776"/>
    <w:rsid w:val="00DF7C8F"/>
    <w:rsid w:val="00E026B6"/>
    <w:rsid w:val="00E21B3A"/>
    <w:rsid w:val="00E36E2E"/>
    <w:rsid w:val="00E50408"/>
    <w:rsid w:val="00E62AB1"/>
    <w:rsid w:val="00EA6C09"/>
    <w:rsid w:val="00EC6710"/>
    <w:rsid w:val="00ED2085"/>
    <w:rsid w:val="00F262EF"/>
    <w:rsid w:val="00F7222B"/>
    <w:rsid w:val="00F74980"/>
    <w:rsid w:val="00FA46BA"/>
    <w:rsid w:val="00FC0FBC"/>
    <w:rsid w:val="00FF3E44"/>
    <w:rsid w:val="00FF5046"/>
    <w:rsid w:val="00FF52C3"/>
    <w:rsid w:val="01022FB5"/>
    <w:rsid w:val="01BD4FB7"/>
    <w:rsid w:val="040E5A95"/>
    <w:rsid w:val="0967680D"/>
    <w:rsid w:val="0F4247B5"/>
    <w:rsid w:val="0F8A2B0D"/>
    <w:rsid w:val="14277F46"/>
    <w:rsid w:val="1E674B72"/>
    <w:rsid w:val="1E682698"/>
    <w:rsid w:val="20670189"/>
    <w:rsid w:val="2247416E"/>
    <w:rsid w:val="22E06980"/>
    <w:rsid w:val="258231E5"/>
    <w:rsid w:val="25970BBB"/>
    <w:rsid w:val="2783545C"/>
    <w:rsid w:val="29237875"/>
    <w:rsid w:val="2A256489"/>
    <w:rsid w:val="2AFC55AC"/>
    <w:rsid w:val="2B595843"/>
    <w:rsid w:val="2D5032FD"/>
    <w:rsid w:val="2E381A86"/>
    <w:rsid w:val="303469C6"/>
    <w:rsid w:val="363711EB"/>
    <w:rsid w:val="3A94481A"/>
    <w:rsid w:val="3C1C08F2"/>
    <w:rsid w:val="3F900265"/>
    <w:rsid w:val="476B32D0"/>
    <w:rsid w:val="50AB1516"/>
    <w:rsid w:val="51064F9C"/>
    <w:rsid w:val="515742F7"/>
    <w:rsid w:val="5159693E"/>
    <w:rsid w:val="546D5735"/>
    <w:rsid w:val="54FC0C03"/>
    <w:rsid w:val="592E29C9"/>
    <w:rsid w:val="5EDF0A6C"/>
    <w:rsid w:val="61B56B12"/>
    <w:rsid w:val="627C55C1"/>
    <w:rsid w:val="65BE50D4"/>
    <w:rsid w:val="65D701F7"/>
    <w:rsid w:val="660A489A"/>
    <w:rsid w:val="68550E46"/>
    <w:rsid w:val="69C56E4D"/>
    <w:rsid w:val="70205EFC"/>
    <w:rsid w:val="710350DD"/>
    <w:rsid w:val="7B0434E3"/>
    <w:rsid w:val="7E414461"/>
    <w:rsid w:val="7FEF48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A16B4B-BBDD-4CFA-8E68-7494BC8E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EastAsia" w:hAnsiTheme="minorEastAsia"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unhideWhenUsed/>
    <w:qFormat/>
    <w:rPr>
      <w:sz w:val="28"/>
      <w:szCs w:val="24"/>
    </w:rPr>
  </w:style>
  <w:style w:type="paragraph" w:styleId="a5">
    <w:name w:val="Balloon Text"/>
    <w:basedOn w:val="a"/>
    <w:link w:val="Char0"/>
    <w:uiPriority w:val="99"/>
    <w:semiHidden/>
    <w:qFormat/>
    <w:rPr>
      <w:sz w:val="18"/>
      <w:szCs w:val="18"/>
    </w:rPr>
  </w:style>
  <w:style w:type="paragraph" w:styleId="a6">
    <w:name w:val="footer"/>
    <w:basedOn w:val="a"/>
    <w:link w:val="Char1"/>
    <w:uiPriority w:val="99"/>
    <w:semiHidden/>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3"/>
    <w:qFormat/>
    <w:pPr>
      <w:spacing w:line="360" w:lineRule="auto"/>
      <w:ind w:firstLineChars="200" w:firstLine="200"/>
    </w:pPr>
    <w:rPr>
      <w:rFonts w:ascii="Times New Roman" w:eastAsia="仿宋_GB2312" w:hAnsi="Times New Roman" w:cs="Times New Roman"/>
      <w:sz w:val="28"/>
      <w:szCs w:val="28"/>
    </w:rPr>
  </w:style>
  <w:style w:type="table" w:styleId="a9">
    <w:name w:val="Table Grid"/>
    <w:basedOn w:val="a1"/>
    <w:uiPriority w:val="59"/>
    <w:qFormat/>
    <w:locked/>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qFormat/>
  </w:style>
  <w:style w:type="character" w:styleId="ab">
    <w:name w:val="Emphasis"/>
    <w:basedOn w:val="a0"/>
    <w:qFormat/>
    <w:locked/>
    <w:rPr>
      <w:i/>
    </w:rPr>
  </w:style>
  <w:style w:type="character" w:styleId="ac">
    <w:name w:val="annotation reference"/>
    <w:basedOn w:val="a0"/>
    <w:uiPriority w:val="99"/>
    <w:semiHidden/>
    <w:unhideWhenUsed/>
    <w:qFormat/>
    <w:rPr>
      <w:sz w:val="21"/>
      <w:szCs w:val="21"/>
    </w:rPr>
  </w:style>
  <w:style w:type="paragraph" w:customStyle="1" w:styleId="Default">
    <w:name w:val="Default"/>
    <w:uiPriority w:val="99"/>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2">
    <w:name w:val="页眉 Char"/>
    <w:basedOn w:val="a0"/>
    <w:link w:val="a7"/>
    <w:qFormat/>
    <w:locked/>
    <w:rPr>
      <w:sz w:val="18"/>
      <w:szCs w:val="18"/>
    </w:rPr>
  </w:style>
  <w:style w:type="character" w:customStyle="1" w:styleId="Char1">
    <w:name w:val="页脚 Char"/>
    <w:basedOn w:val="a0"/>
    <w:link w:val="a6"/>
    <w:uiPriority w:val="99"/>
    <w:semiHidden/>
    <w:qFormat/>
    <w:locked/>
    <w:rPr>
      <w:sz w:val="18"/>
      <w:szCs w:val="18"/>
    </w:rPr>
  </w:style>
  <w:style w:type="character" w:customStyle="1" w:styleId="Char0">
    <w:name w:val="批注框文本 Char"/>
    <w:basedOn w:val="a0"/>
    <w:link w:val="a5"/>
    <w:uiPriority w:val="99"/>
    <w:semiHidden/>
    <w:qFormat/>
    <w:locked/>
    <w:rPr>
      <w:sz w:val="18"/>
      <w:szCs w:val="18"/>
    </w:rPr>
  </w:style>
  <w:style w:type="paragraph" w:styleId="ad">
    <w:name w:val="List Paragraph"/>
    <w:basedOn w:val="a"/>
    <w:uiPriority w:val="34"/>
    <w:qFormat/>
    <w:pPr>
      <w:ind w:firstLineChars="200" w:firstLine="420"/>
    </w:pPr>
  </w:style>
  <w:style w:type="character" w:customStyle="1" w:styleId="Char3">
    <w:name w:val="批注主题 Char"/>
    <w:basedOn w:val="Char"/>
    <w:link w:val="a8"/>
    <w:qFormat/>
    <w:rPr>
      <w:rFonts w:ascii="Times New Roman" w:eastAsia="仿宋_GB2312" w:hAnsi="Times New Roman" w:cs="Calibri"/>
      <w:sz w:val="28"/>
      <w:szCs w:val="28"/>
    </w:rPr>
  </w:style>
  <w:style w:type="character" w:customStyle="1" w:styleId="Char">
    <w:name w:val="批注文字 Char"/>
    <w:basedOn w:val="a0"/>
    <w:link w:val="a3"/>
    <w:uiPriority w:val="99"/>
    <w:semiHidden/>
    <w:qFormat/>
    <w:rPr>
      <w:rFonts w:cs="Calibri"/>
      <w:szCs w:val="21"/>
    </w:rPr>
  </w:style>
  <w:style w:type="character" w:customStyle="1" w:styleId="Char10">
    <w:name w:val="批注主题 Char1"/>
    <w:basedOn w:val="Char"/>
    <w:uiPriority w:val="99"/>
    <w:semiHidden/>
    <w:qFormat/>
    <w:rPr>
      <w:rFonts w:cs="Calibri"/>
      <w:b/>
      <w:bCs/>
      <w:szCs w:val="21"/>
    </w:rPr>
  </w:style>
  <w:style w:type="paragraph" w:customStyle="1" w:styleId="ae">
    <w:name w:val="正文内容"/>
    <w:basedOn w:val="a"/>
    <w:qFormat/>
    <w:pPr>
      <w:ind w:firstLineChars="200" w:firstLine="200"/>
    </w:pPr>
    <w:rPr>
      <w:rFonts w:ascii="Arial" w:hAnsi="Arial"/>
    </w:rPr>
  </w:style>
  <w:style w:type="paragraph" w:customStyle="1" w:styleId="1">
    <w:name w:val="修订1"/>
    <w:hidden/>
    <w:uiPriority w:val="99"/>
    <w:unhideWhenUsed/>
    <w:qFormat/>
    <w:rPr>
      <w:rFonts w:ascii="Calibri" w:hAnsi="Calibri" w:cs="Calibri"/>
      <w:kern w:val="2"/>
      <w:sz w:val="21"/>
      <w:szCs w:val="21"/>
    </w:rPr>
  </w:style>
  <w:style w:type="paragraph" w:customStyle="1" w:styleId="2">
    <w:name w:val="修订2"/>
    <w:hidden/>
    <w:uiPriority w:val="99"/>
    <w:semiHidden/>
    <w:qFormat/>
    <w:rPr>
      <w:rFonts w:asciiTheme="minorEastAsia" w:hAnsiTheme="minorEastAsia"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164</Words>
  <Characters>937</Characters>
  <Application>Microsoft Office Word</Application>
  <DocSecurity>0</DocSecurity>
  <Lines>7</Lines>
  <Paragraphs>2</Paragraphs>
  <ScaleCrop>false</ScaleCrop>
  <Company>Comac</Company>
  <LinksUpToDate>false</LinksUpToDate>
  <CharactersWithSpaces>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王丹</dc:creator>
  <cp:lastModifiedBy>康冠群</cp:lastModifiedBy>
  <cp:revision>51</cp:revision>
  <dcterms:created xsi:type="dcterms:W3CDTF">2014-06-19T06:04:00Z</dcterms:created>
  <dcterms:modified xsi:type="dcterms:W3CDTF">2025-02-27T12:50:00Z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07A5143EF8A74FBEBCEB6FE96BE58F7F_13</vt:lpwstr>
  </property>
  <property fmtid="{D5CDD505-2E9C-101B-9397-08002B2CF9AE}" pid="4" name="KSOTemplateDocerSaveRecord">
    <vt:lpwstr>eyJoZGlkIjoiMzEwNTM5NzYwMDRjMzkwZTVkZjY2ODkwMGIxNGU0OTUiLCJ1c2VySWQiOiIzMjI0ODkyOTUifQ==</vt:lpwstr>
  </property>
  <property fmtid="{D5CDD505-2E9C-101B-9397-08002B2CF9AE}" pid="5" name="_IPGFID">
    <vt:lpwstr>[DocID]=BB0A92A3-A978-4A74-9714-1586909B012F</vt:lpwstr>
  </property>
  <property fmtid="{D5CDD505-2E9C-101B-9397-08002B2CF9AE}" pid="6" name="_IPGFLOW_P-B7C1_E-1_FP-1_SP-1_CV-8242E608_CN-C5629450">
    <vt:lpwstr>egi68nhWYve3RDUzEuiiH8cVIA39mBwOfgYqpmbMdeSzC0c6LrG+3lYjgEl8x2hOvFEYaMMF6YezktyRWfkA+uUXTU9YtPWLDEZepwhFjKOxj421jg8sqiDtqqYD/vgJSjuNS4IH3Zcd9fBTY27S7tJEFQphHy9XKWC7zzDztyHo/RBGVaIr4gW1O0MhhyLDmWyPitgfrMdWGq5das6tYS2/4VNwxze0YmLWpSGhtdte6N+ZITYDtQVR1BLwSO5</vt:lpwstr>
  </property>
  <property fmtid="{D5CDD505-2E9C-101B-9397-08002B2CF9AE}" pid="7" name="_IPGFLOW_P-B7C1_E-1_FP-1_SP-2_CV-E11C9989_CN-7F01DC09">
    <vt:lpwstr>/zEDkLRmnlQ5JuqYDcSXLrzbOZigBzEknf6r1hINE7T5ojpxdR/2mJgf0HVJvv5TzLBhtAfosAYrsrXleGDg70nQnc9YQa6IvP6Cw4tQfpBbnVnpR72BGIIlc0uErym46GL90Qp98Z3nFtpcI5IOm3g==</vt:lpwstr>
  </property>
  <property fmtid="{D5CDD505-2E9C-101B-9397-08002B2CF9AE}" pid="8" name="_IPGFLOW_P-B7C1_E-0_FP-1_CV-FB4CA461_CN-C71EFC15">
    <vt:lpwstr>DPSPMK|3|408|2|0</vt:lpwstr>
  </property>
  <property fmtid="{D5CDD505-2E9C-101B-9397-08002B2CF9AE}" pid="9" name="_IPGFLOW_P-B7C1_E-0_CV-8A14B2B5_CN-2FF6ECED">
    <vt:lpwstr>DPFPMK|3|50|2|0</vt:lpwstr>
  </property>
  <property fmtid="{D5CDD505-2E9C-101B-9397-08002B2CF9AE}" pid="10" name="_IPGFLOW_P-B7C1_E-1_FP-2_SP-1_CV-54B0C921_CN-155716A2">
    <vt:lpwstr>egi68nhWYve3RDUzEuiiHw+bQ0B3dae1KI/mJY6iScvB23L2xMU22wydlGyxMSKZ5mZFdqlSm4q4jdEC87wBfSZecy/yBlpLxgwtLlWtpRspp6FhcleEANPMUbfb9S/t6JgbwLMXl8BGlzQTdDIWPtwMxf7kelSAa5OkCiSxQrz5dm9BJzIr2/U3UnW4jkjqwD5YOKD2t9iJZ2x+B86FMNt5g6gJQVeXB+h8FnIdX3QwSF3SKhPk4hXU0DfuQ7q</vt:lpwstr>
  </property>
  <property fmtid="{D5CDD505-2E9C-101B-9397-08002B2CF9AE}" pid="11" name="_IPGFLOW_P-B7C1_E-1_FP-2_SP-2_CV-26FAEDBE_CN-6BF18139">
    <vt:lpwstr>quntaf6smCKRWEvxtnintdLJcqy8Ksr1izZmLuPtLnr6FeLXOl1rQmSFjrE/Cttncp6HOeOHaXWBZkgRqv03yOem/LG1YO247MvPGcZUdx7Ur16WM0sJKH3U4v81xo3HFRFHgbLeYLOtpyBdTRyaLOg==</vt:lpwstr>
  </property>
  <property fmtid="{D5CDD505-2E9C-101B-9397-08002B2CF9AE}" pid="12" name="_IPGFLOW_P-B7C1_E-0_FP-2_CV-FB4CA461_CN-7AD490DB">
    <vt:lpwstr>DPSPMK|3|408|2|0</vt:lpwstr>
  </property>
</Properties>
</file>